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i w:val="0"/>
          <w:color w:val="2D713D"/>
          <w:sz w:val="18"/>
        </w:rPr>
        <w:t>RUN OF SHOW</w:t>
      </w:r>
    </w:p>
    <w:p>
      <w:pPr>
        <w:pStyle w:val="Title"/>
      </w:pPr>
      <w:r>
        <w:rPr>
          <w:rFonts w:ascii="Arial" w:hAnsi="Arial"/>
          <w:b/>
          <w:i w:val="0"/>
          <w:color w:val="103323"/>
          <w:sz w:val="50"/>
        </w:rPr>
        <w:t>One architecture. Then each role.</w:t>
      </w:r>
    </w:p>
    <w:p>
      <w:pPr>
        <w:pStyle w:val="Subtitle"/>
      </w:pPr>
      <w:r>
        <w:rPr>
          <w:rFonts w:ascii="Arial" w:hAnsi="Arial"/>
          <w:b w:val="0"/>
          <w:i w:val="0"/>
          <w:color w:val="5D7469"/>
          <w:sz w:val="24"/>
        </w:rPr>
        <w:t>Beginner deck v16 + optional advanced clinic v8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850"/>
        <w:gridCol w:w="7510"/>
      </w:tblGrid>
      <w:tr>
        <w:trPr>
          <w:tblHeader w:val="true"/>
        </w:trPr>
        <w:tc>
          <w:tcPr>
            <w:tcW w:type="dxa" w:w="1850"/>
            <w:tcMar>
              <w:top w:w="100" w:type="dxa"/>
              <w:start w:w="130" w:type="dxa"/>
              <w:bottom w:w="100" w:type="dxa"/>
              <w:end w:w="130" w:type="dxa"/>
            </w:tcMar>
            <w:shd w:fill="F4DDCF"/>
            <w:vAlign w:val="center"/>
          </w:tcPr>
          <w:p>
            <w:r>
              <w:rPr>
                <w:rFonts w:ascii="Arial" w:hAnsi="Arial"/>
                <w:b/>
                <w:i w:val="0"/>
                <w:color w:val="2D713D"/>
                <w:sz w:val="18"/>
              </w:rPr>
              <w:t>NON-NEGOTIABLE</w:t>
            </w:r>
          </w:p>
        </w:tc>
        <w:tc>
          <w:tcPr>
            <w:tcW w:type="dxa" w:w="7510"/>
            <w:tcMar>
              <w:top w:w="100" w:type="dxa"/>
              <w:start w:w="130" w:type="dxa"/>
              <w:bottom w:w="100" w:type="dxa"/>
              <w:end w:w="130" w:type="dxa"/>
            </w:tcMar>
            <w:shd w:fill="F4DDCF"/>
            <w:vAlign w:val="center"/>
          </w:tcPr>
          <w:p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The beginner room is command-free. Start from the visible screen, give one action, wait, verify DONE WHEN and use the full Setup Helper prompt at the first mismatch.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850"/>
        <w:gridCol w:w="7510"/>
      </w:tblGrid>
      <w:tr>
        <w:trPr>
          <w:tblHeader w:val="true"/>
        </w:trPr>
        <w:tc>
          <w:tcPr>
            <w:tcW w:type="dxa" w:w="1850"/>
            <w:tcMar>
              <w:top w:w="100" w:type="dxa"/>
              <w:start w:w="130" w:type="dxa"/>
              <w:bottom w:w="100" w:type="dxa"/>
              <w:end w:w="130" w:type="dxa"/>
            </w:tcMar>
            <w:shd w:fill="103323"/>
            <w:vAlign w:val="center"/>
          </w:tcPr>
          <w:p>
            <w:r>
              <w:rPr>
                <w:rFonts w:ascii="Arial" w:hAnsi="Arial"/>
                <w:b/>
                <w:i w:val="0"/>
                <w:color w:val="F2C14E"/>
                <w:sz w:val="18"/>
              </w:rPr>
              <w:t>CORE MESSAGE</w:t>
            </w:r>
          </w:p>
        </w:tc>
        <w:tc>
          <w:tcPr>
            <w:tcW w:type="dxa" w:w="7510"/>
            <w:tcMar>
              <w:top w:w="100" w:type="dxa"/>
              <w:start w:w="130" w:type="dxa"/>
              <w:bottom w:w="100" w:type="dxa"/>
              <w:end w:w="130" w:type="dxa"/>
            </w:tcMar>
            <w:shd w:fill="103323"/>
            <w:vAlign w:val="center"/>
          </w:tcPr>
          <w:p>
            <w:r>
              <w:rPr>
                <w:rFonts w:ascii="Arial" w:hAnsi="Arial"/>
                <w:b w:val="0"/>
                <w:i w:val="0"/>
                <w:color w:val="FFFFFF"/>
                <w:sz w:val="18"/>
              </w:rPr>
              <w:t>You are learning to wear Codex like an Iron Man suit. You provide the mission and judgment. Codex performs approved work through a controlled autonomous loop.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900"/>
        <w:gridCol w:w="4100"/>
        <w:gridCol w:w="3360"/>
      </w:tblGrid>
      <w:tr>
        <w:trPr>
          <w:tblHeader w:val="true"/>
        </w:trPr>
        <w:tc>
          <w:tcPr>
            <w:tcW w:type="dxa" w:w="1900"/>
            <w:tcMar>
              <w:top w:w="100" w:type="dxa"/>
              <w:start w:w="130" w:type="dxa"/>
              <w:bottom w:w="100" w:type="dxa"/>
              <w:end w:w="130" w:type="dxa"/>
            </w:tcMar>
            <w:shd w:fill="103323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Layer</w:t>
            </w:r>
          </w:p>
        </w:tc>
        <w:tc>
          <w:tcPr>
            <w:tcW w:type="dxa" w:w="4100"/>
            <w:tcMar>
              <w:top w:w="100" w:type="dxa"/>
              <w:start w:w="130" w:type="dxa"/>
              <w:bottom w:w="100" w:type="dxa"/>
              <w:end w:w="130" w:type="dxa"/>
            </w:tcMar>
            <w:shd w:fill="103323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Facilitator wording</w:t>
            </w:r>
          </w:p>
        </w:tc>
        <w:tc>
          <w:tcPr>
            <w:tcW w:type="dxa" w:w="3360"/>
            <w:tcMar>
              <w:top w:w="100" w:type="dxa"/>
              <w:start w:w="130" w:type="dxa"/>
              <w:bottom w:w="100" w:type="dxa"/>
              <w:end w:w="130" w:type="dxa"/>
            </w:tcMar>
            <w:shd w:fill="103323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What must stay separate</w:t>
            </w:r>
          </w:p>
        </w:tc>
      </w:tr>
      <w:tr>
        <w:tc>
          <w:tcPr>
            <w:tcW w:type="dxa" w:w="190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PUBLIC VERSIONED KIT</w:t>
            </w:r>
          </w:p>
        </w:tc>
        <w:tc>
          <w:tcPr>
            <w:tcW w:type="dxa" w:w="410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Everyone gets the same clean system and reference source.</w:t>
            </w:r>
          </w:p>
        </w:tc>
        <w:tc>
          <w:tcPr>
            <w:tcW w:type="dxa" w:w="336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No live company work or secrets.</w:t>
            </w:r>
          </w:p>
        </w:tc>
      </w:tr>
      <w:tr>
        <w:tc>
          <w:tcPr>
            <w:tcW w:type="dxa" w:w="190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WORK PROJECT</w:t>
            </w:r>
          </w:p>
        </w:tc>
        <w:tc>
          <w:tcPr>
            <w:tcW w:type="dxa" w:w="410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Open the exact private project or approved local worker for the job.</w:t>
            </w:r>
          </w:p>
        </w:tc>
        <w:tc>
          <w:tcPr>
            <w:tcW w:type="dxa" w:w="336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Its cursor, register, today file, ledger and evidence.</w:t>
            </w:r>
          </w:p>
        </w:tc>
      </w:tr>
      <w:tr>
        <w:tc>
          <w:tcPr>
            <w:tcW w:type="dxa" w:w="1900"/>
            <w:shd w:fill="E3EEF2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ROLE SKILL</w:t>
            </w:r>
          </w:p>
        </w:tc>
        <w:tc>
          <w:tcPr>
            <w:tcW w:type="dxa" w:w="4100"/>
            <w:shd w:fill="E3EEF2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Opt in only when the role can prove the need.</w:t>
            </w:r>
          </w:p>
        </w:tc>
        <w:tc>
          <w:tcPr>
            <w:tcW w:type="dxa" w:w="3360"/>
            <w:shd w:fill="E3EEF2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Akshar and Rahul are not blanket staff installs.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spacing w:after="60"/>
      </w:pPr>
      <w:r>
        <w:rPr>
          <w:rFonts w:ascii="Arial" w:hAnsi="Arial"/>
          <w:b/>
          <w:i w:val="0"/>
          <w:color w:val="2D713D"/>
          <w:sz w:val="18"/>
        </w:rPr>
        <w:t>BEFORE PEOPLE ENTER</w:t>
      </w:r>
    </w:p>
    <w:p>
      <w:pPr>
        <w:pStyle w:val="Title"/>
      </w:pPr>
      <w:r>
        <w:rPr>
          <w:rFonts w:ascii="Arial" w:hAnsi="Arial"/>
          <w:b/>
          <w:i w:val="0"/>
          <w:color w:val="103323"/>
          <w:sz w:val="50"/>
        </w:rPr>
        <w:t>Prepare the room and the recovery path.</w:t>
      </w:r>
    </w:p>
    <w:p>
      <w:pPr>
        <w:pStyle w:val="Subtitle"/>
      </w:pPr>
      <w:r>
        <w:rPr>
          <w:rFonts w:ascii="Arial" w:hAnsi="Arial"/>
          <w:b w:val="0"/>
          <w:i w:val="0"/>
          <w:color w:val="5D7469"/>
          <w:sz w:val="24"/>
        </w:rPr>
        <w:t>Do not discover access problems in the live session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Deck v16 opens in presentation mode and all links work.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Public release v1.5.1 is reachable; a checksum-verified offline copy is available.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Employee guide v7, Setup Helper card v7 and role workbook v8 are ready.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Email, Drive and optional LinkedIn starter folders plus the three-worker go-live checklist are available from the company kit.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Named private-repository invitations are ready only for assigned employees.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A Mac and Windows recovery path has been tested without a command.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No attendee receives organization Owner, Full access or an unapproved paid seat.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850"/>
        <w:gridCol w:w="7510"/>
      </w:tblGrid>
      <w:tr>
        <w:trPr>
          <w:tblHeader w:val="true"/>
        </w:trPr>
        <w:tc>
          <w:tcPr>
            <w:tcW w:type="dxa" w:w="1850"/>
            <w:tcMar>
              <w:top w:w="100" w:type="dxa"/>
              <w:start w:w="130" w:type="dxa"/>
              <w:bottom w:w="100" w:type="dxa"/>
              <w:end w:w="130" w:type="dxa"/>
            </w:tcMar>
            <w:shd w:fill="FFF4D7"/>
            <w:vAlign w:val="center"/>
          </w:tcPr>
          <w:p>
            <w:r>
              <w:rPr>
                <w:rFonts w:ascii="Arial" w:hAnsi="Arial"/>
                <w:b/>
                <w:i w:val="0"/>
                <w:color w:val="2D713D"/>
                <w:sz w:val="18"/>
              </w:rPr>
              <w:t>NO HEADCOUNT GUESS</w:t>
            </w:r>
          </w:p>
        </w:tc>
        <w:tc>
          <w:tcPr>
            <w:tcW w:type="dxa" w:w="7510"/>
            <w:tcMar>
              <w:top w:w="100" w:type="dxa"/>
              <w:start w:w="130" w:type="dxa"/>
              <w:bottom w:w="100" w:type="dxa"/>
              <w:end w:w="130" w:type="dxa"/>
            </w:tcMar>
            <w:shd w:fill="FFF4D7"/>
            <w:vAlign w:val="center"/>
          </w:tcPr>
          <w:p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Print or send only for the confirmed attendee list. Do not invent a quantity.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60"/>
      </w:pPr>
      <w:r>
        <w:rPr>
          <w:rFonts w:ascii="Arial" w:hAnsi="Arial"/>
          <w:b/>
          <w:i w:val="0"/>
          <w:color w:val="2D713D"/>
          <w:sz w:val="18"/>
        </w:rPr>
        <w:t>BEGINNER DECK CUES</w:t>
      </w:r>
    </w:p>
    <w:p>
      <w:pPr>
        <w:pStyle w:val="Title"/>
      </w:pPr>
      <w:r>
        <w:rPr>
          <w:rFonts w:ascii="Arial" w:hAnsi="Arial"/>
          <w:b/>
          <w:i w:val="0"/>
          <w:color w:val="103323"/>
          <w:sz w:val="50"/>
        </w:rPr>
        <w:t>The two changed moments matter most.</w:t>
      </w:r>
    </w:p>
    <w:p>
      <w:pPr>
        <w:pStyle w:val="Subtitle"/>
      </w:pPr>
      <w:r>
        <w:rPr>
          <w:rFonts w:ascii="Arial" w:hAnsi="Arial"/>
          <w:b w:val="0"/>
          <w:i w:val="0"/>
          <w:color w:val="5D7469"/>
          <w:sz w:val="24"/>
        </w:rPr>
        <w:t>Pause and make each employee show the result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700"/>
        <w:gridCol w:w="4700"/>
        <w:gridCol w:w="2960"/>
      </w:tblGrid>
      <w:tr>
        <w:trPr>
          <w:tblHeader w:val="true"/>
        </w:trPr>
        <w:tc>
          <w:tcPr>
            <w:tcW w:type="dxa" w:w="1700"/>
            <w:tcMar>
              <w:top w:w="100" w:type="dxa"/>
              <w:start w:w="130" w:type="dxa"/>
              <w:bottom w:w="100" w:type="dxa"/>
              <w:end w:w="130" w:type="dxa"/>
            </w:tcMar>
            <w:shd w:fill="103323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Slide</w:t>
            </w:r>
          </w:p>
        </w:tc>
        <w:tc>
          <w:tcPr>
            <w:tcW w:type="dxa" w:w="4700"/>
            <w:tcMar>
              <w:top w:w="100" w:type="dxa"/>
              <w:start w:w="130" w:type="dxa"/>
              <w:bottom w:w="100" w:type="dxa"/>
              <w:end w:w="130" w:type="dxa"/>
            </w:tcMar>
            <w:shd w:fill="103323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Say</w:t>
            </w:r>
          </w:p>
        </w:tc>
        <w:tc>
          <w:tcPr>
            <w:tcW w:type="dxa" w:w="2960"/>
            <w:tcMar>
              <w:top w:w="100" w:type="dxa"/>
              <w:start w:w="130" w:type="dxa"/>
              <w:bottom w:w="100" w:type="dxa"/>
              <w:end w:w="130" w:type="dxa"/>
            </w:tcMar>
            <w:shd w:fill="103323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DONE WHEN</w:t>
            </w:r>
          </w:p>
        </w:tc>
      </w:tr>
      <w:tr>
        <w:tc>
          <w:tcPr>
            <w:tcW w:type="dxa" w:w="170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16 — Check first</w:t>
            </w:r>
          </w:p>
        </w:tc>
        <w:tc>
          <w:tcPr>
            <w:tcW w:type="dxa" w:w="470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CHECK FOR KAIRALI UPDATE is read-only. Fetch/Pull is repository sync, not lifecycle update.</w:t>
            </w:r>
          </w:p>
        </w:tc>
        <w:tc>
          <w:tcPr>
            <w:tcW w:type="dxa" w:w="296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Installed/latest versions, affected layers and preserved files are visible; no file changed.</w:t>
            </w:r>
          </w:p>
        </w:tc>
      </w:tr>
      <w:tr>
        <w:tc>
          <w:tcPr>
            <w:tcW w:type="dxa" w:w="170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16 — Approve + prove</w:t>
            </w:r>
          </w:p>
        </w:tc>
        <w:tc>
          <w:tcPr>
            <w:tcW w:type="dxa" w:w="470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A live task defers. UPDATE NOW starts backup, verified apply, validation and receipt at a safe checkpoint.</w:t>
            </w:r>
          </w:p>
        </w:tc>
        <w:tc>
          <w:tcPr>
            <w:tcW w:type="dxa" w:w="296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Version, receipt, preserved-state result and recovery location agree.</w:t>
            </w:r>
          </w:p>
        </w:tc>
      </w:tr>
      <w:tr>
        <w:tc>
          <w:tcPr>
            <w:tcW w:type="dxa" w:w="1700"/>
            <w:shd w:fill="E3EEF2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26 — Go-live</w:t>
            </w:r>
          </w:p>
        </w:tc>
        <w:tc>
          <w:tcPr>
            <w:tcW w:type="dxa" w:w="4700"/>
            <w:shd w:fill="E3EEF2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Available is not active. Email and FULL DRIVE INDEX require visible proof; TEST 25 is setup only. Optional LinkedIn proves @Computer locally, stops Computer + Chrome, then hands LinkedIn to the employee.</w:t>
            </w:r>
          </w:p>
        </w:tc>
        <w:tc>
          <w:tcPr>
            <w:tcW w:type="dxa" w:w="2960"/>
            <w:shd w:fill="E3EEF2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The employee states Email and Drive LIVE or an exact blocker, plus optional LinkedIn LIVE, NOT ENABLED BY CHOICE or a blocker.</w:t>
            </w:r>
          </w:p>
        </w:tc>
      </w:tr>
    </w:tbl>
    <w:p>
      <w:pPr>
        <w:spacing w:after="6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850"/>
        <w:gridCol w:w="7510"/>
      </w:tblGrid>
      <w:tr>
        <w:trPr>
          <w:tblHeader w:val="true"/>
        </w:trPr>
        <w:tc>
          <w:tcPr>
            <w:tcW w:type="dxa" w:w="1850"/>
            <w:tcMar>
              <w:top w:w="100" w:type="dxa"/>
              <w:start w:w="130" w:type="dxa"/>
              <w:bottom w:w="100" w:type="dxa"/>
              <w:end w:w="130" w:type="dxa"/>
            </w:tcMar>
            <w:shd w:fill="F4DDCF"/>
            <w:vAlign w:val="center"/>
          </w:tcPr>
          <w:p>
            <w:r>
              <w:rPr>
                <w:rFonts w:ascii="Arial" w:hAnsi="Arial"/>
                <w:b/>
                <w:i w:val="0"/>
                <w:color w:val="2D713D"/>
                <w:sz w:val="18"/>
              </w:rPr>
              <w:t>RESCUE CUE</w:t>
            </w:r>
          </w:p>
        </w:tc>
        <w:tc>
          <w:tcPr>
            <w:tcW w:type="dxa" w:w="7510"/>
            <w:tcMar>
              <w:top w:w="100" w:type="dxa"/>
              <w:start w:w="130" w:type="dxa"/>
              <w:bottom w:w="100" w:type="dxa"/>
              <w:end w:w="130" w:type="dxa"/>
            </w:tcMar>
            <w:shd w:fill="F4DDCF"/>
            <w:vAlign w:val="center"/>
          </w:tcPr>
          <w:p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At the first different screen, stop the group path for that employee and start the complete Setup Helper prompt. Do not improvise technical steps.</w:t>
            </w:r>
          </w:p>
        </w:tc>
      </w:tr>
    </w:tbl>
    <w:p>
      <w:pPr>
        <w:spacing w:after="4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850"/>
        <w:gridCol w:w="7510"/>
      </w:tblGrid>
      <w:tr>
        <w:trPr>
          <w:tblHeader w:val="true"/>
        </w:trPr>
        <w:tc>
          <w:tcPr>
            <w:tcW w:type="dxa" w:w="1850"/>
            <w:tcMar>
              <w:top w:w="100" w:type="dxa"/>
              <w:start w:w="130" w:type="dxa"/>
              <w:bottom w:w="100" w:type="dxa"/>
              <w:end w:w="130" w:type="dxa"/>
            </w:tcMar>
            <w:shd w:fill="E3EEF2"/>
            <w:vAlign w:val="center"/>
          </w:tcPr>
          <w:p>
            <w:r>
              <w:rPr>
                <w:rFonts w:ascii="Arial" w:hAnsi="Arial"/>
                <w:b/>
                <w:i w:val="0"/>
                <w:color w:val="2D713D"/>
                <w:sz w:val="18"/>
              </w:rPr>
              <w:t>PRIVATE ACCESS</w:t>
            </w:r>
          </w:p>
        </w:tc>
        <w:tc>
          <w:tcPr>
            <w:tcW w:type="dxa" w:w="7510"/>
            <w:tcMar>
              <w:top w:w="100" w:type="dxa"/>
              <w:start w:w="130" w:type="dxa"/>
              <w:bottom w:w="100" w:type="dxa"/>
              <w:end w:w="130" w:type="dxa"/>
            </w:tcMar>
            <w:shd w:fill="E3EEF2"/>
            <w:vAlign w:val="center"/>
          </w:tcPr>
          <w:p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A private operations invitation is issued only to the named role. Public-kit access never needs a collaborator invitation.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60"/>
      </w:pPr>
      <w:r>
        <w:rPr>
          <w:rFonts w:ascii="Arial" w:hAnsi="Arial"/>
          <w:b/>
          <w:i w:val="0"/>
          <w:color w:val="2D713D"/>
          <w:sz w:val="18"/>
        </w:rPr>
        <w:t>HANDS-ON PROOF</w:t>
      </w:r>
    </w:p>
    <w:p>
      <w:pPr>
        <w:pStyle w:val="Title"/>
      </w:pPr>
      <w:r>
        <w:rPr>
          <w:rFonts w:ascii="Arial" w:hAnsi="Arial"/>
          <w:b/>
          <w:i w:val="0"/>
          <w:color w:val="103323"/>
          <w:sz w:val="50"/>
        </w:rPr>
        <w:t>Collect evidence, not nods.</w:t>
      </w:r>
    </w:p>
    <w:p>
      <w:pPr>
        <w:pStyle w:val="Subtitle"/>
      </w:pPr>
      <w:r>
        <w:rPr>
          <w:rFonts w:ascii="Arial" w:hAnsi="Arial"/>
          <w:b w:val="0"/>
          <w:i w:val="0"/>
          <w:color w:val="5D7469"/>
          <w:sz w:val="24"/>
        </w:rPr>
        <w:t>Installed, downloaded and connected are intermediate states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760"/>
        <w:gridCol w:w="8600"/>
      </w:tblGrid>
      <w:tr>
        <w:trPr>
          <w:tblHeader w:val="true"/>
        </w:trPr>
        <w:tc>
          <w:tcPr>
            <w:tcW w:type="dxa" w:w="760"/>
            <w:tcMar>
              <w:top w:w="100" w:type="dxa"/>
              <w:start w:w="130" w:type="dxa"/>
              <w:bottom w:w="100" w:type="dxa"/>
              <w:end w:w="130" w:type="dxa"/>
            </w:tcMar>
            <w:shd w:fill="2D713D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600"/>
            <w:tcMar>
              <w:top w:w="100" w:type="dxa"/>
              <w:start w:w="130" w:type="dxa"/>
              <w:bottom w:w="100" w:type="dxa"/>
              <w:end w:w="130" w:type="dxa"/>
            </w:tcMar>
            <w:shd w:fill="E7F2E8"/>
          </w:tcPr>
          <w:p>
            <w:r>
              <w:rPr>
                <w:rFonts w:ascii="Arial" w:hAnsi="Arial"/>
                <w:b/>
                <w:i w:val="0"/>
                <w:color w:val="103323"/>
                <w:sz w:val="22"/>
              </w:rPr>
              <w:t>Verify the project.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Ask each employee to show AGENTS.md and the startup-test answer.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D713D"/>
                <w:sz w:val="17"/>
              </w:rPr>
              <w:t>DONE WHEN: The expected task or NOT SET is visible.</w:t>
            </w:r>
          </w:p>
        </w:tc>
      </w:tr>
    </w:tbl>
    <w:p>
      <w:pPr>
        <w:spacing w:after="2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760"/>
        <w:gridCol w:w="8600"/>
      </w:tblGrid>
      <w:tr>
        <w:trPr>
          <w:tblHeader w:val="true"/>
        </w:trPr>
        <w:tc>
          <w:tcPr>
            <w:tcW w:type="dxa" w:w="760"/>
            <w:tcMar>
              <w:top w:w="100" w:type="dxa"/>
              <w:start w:w="130" w:type="dxa"/>
              <w:bottom w:w="100" w:type="dxa"/>
              <w:end w:w="130" w:type="dxa"/>
            </w:tcMar>
            <w:shd w:fill="2D713D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600"/>
            <w:tcMar>
              <w:top w:w="100" w:type="dxa"/>
              <w:start w:w="130" w:type="dxa"/>
              <w:bottom w:w="100" w:type="dxa"/>
              <w:end w:w="130" w:type="dxa"/>
            </w:tcMar>
            <w:shd w:fill="E7F2E8"/>
          </w:tcPr>
          <w:p>
            <w:r>
              <w:rPr>
                <w:rFonts w:ascii="Arial" w:hAnsi="Arial"/>
                <w:b/>
                <w:i w:val="0"/>
                <w:color w:val="103323"/>
                <w:sz w:val="22"/>
              </w:rPr>
              <w:t>Verify any announced update.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Check the installed version, validation result, receipt, preserved-state result and recovery location. A deferred update must show its row and checkpoint condition.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D713D"/>
                <w:sz w:val="17"/>
              </w:rPr>
              <w:t>DONE WHEN: The employee is current or explicitly deferred with proof.</w:t>
            </w:r>
          </w:p>
        </w:tc>
      </w:tr>
    </w:tbl>
    <w:p>
      <w:pPr>
        <w:spacing w:after="2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760"/>
        <w:gridCol w:w="8600"/>
      </w:tblGrid>
      <w:tr>
        <w:trPr>
          <w:tblHeader w:val="true"/>
        </w:trPr>
        <w:tc>
          <w:tcPr>
            <w:tcW w:type="dxa" w:w="760"/>
            <w:tcMar>
              <w:top w:w="100" w:type="dxa"/>
              <w:start w:w="130" w:type="dxa"/>
              <w:bottom w:w="100" w:type="dxa"/>
              <w:end w:w="130" w:type="dxa"/>
            </w:tcMar>
            <w:shd w:fill="2D713D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600"/>
            <w:tcMar>
              <w:top w:w="100" w:type="dxa"/>
              <w:start w:w="130" w:type="dxa"/>
              <w:bottom w:w="100" w:type="dxa"/>
              <w:end w:w="130" w:type="dxa"/>
            </w:tcMar>
            <w:shd w:fill="E7F2E8"/>
          </w:tcPr>
          <w:p>
            <w:r>
              <w:rPr>
                <w:rFonts w:ascii="Arial" w:hAnsi="Arial"/>
                <w:b/>
                <w:i w:val="0"/>
                <w:color w:val="103323"/>
                <w:sz w:val="22"/>
              </w:rPr>
              <w:t>Verify the account and boundary.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Ask the employee to point to Ask for approval and the approved company account. Do not view their secret information.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D713D"/>
                <w:sz w:val="17"/>
              </w:rPr>
              <w:t>DONE WHEN: The account and approval mode are visible.</w:t>
            </w:r>
          </w:p>
        </w:tc>
      </w:tr>
    </w:tbl>
    <w:p>
      <w:pPr>
        <w:spacing w:after="2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760"/>
        <w:gridCol w:w="8600"/>
      </w:tblGrid>
      <w:tr>
        <w:trPr>
          <w:tblHeader w:val="true"/>
        </w:trPr>
        <w:tc>
          <w:tcPr>
            <w:tcW w:type="dxa" w:w="760"/>
            <w:tcMar>
              <w:top w:w="100" w:type="dxa"/>
              <w:start w:w="130" w:type="dxa"/>
              <w:bottom w:w="100" w:type="dxa"/>
              <w:end w:w="130" w:type="dxa"/>
            </w:tcMar>
            <w:shd w:fill="2D713D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600"/>
            <w:tcMar>
              <w:top w:w="100" w:type="dxa"/>
              <w:start w:w="130" w:type="dxa"/>
              <w:bottom w:w="100" w:type="dxa"/>
              <w:end w:w="130" w:type="dxa"/>
            </w:tcMar>
            <w:shd w:fill="E7F2E8"/>
          </w:tcPr>
          <w:p>
            <w:r>
              <w:rPr>
                <w:rFonts w:ascii="Arial" w:hAnsi="Arial"/>
                <w:b/>
                <w:i w:val="0"/>
                <w:color w:val="103323"/>
                <w:sz w:val="22"/>
              </w:rPr>
              <w:t>Verify two homework workers.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Open Email and Drive separately; never accept one mixed folder.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D713D"/>
                <w:sz w:val="17"/>
              </w:rPr>
              <w:t>DONE WHEN: Both folders have independent state files.</w:t>
            </w:r>
          </w:p>
        </w:tc>
      </w:tr>
    </w:tbl>
    <w:p>
      <w:pPr>
        <w:spacing w:after="2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760"/>
        <w:gridCol w:w="8600"/>
      </w:tblGrid>
      <w:tr>
        <w:trPr>
          <w:tblHeader w:val="true"/>
        </w:trPr>
        <w:tc>
          <w:tcPr>
            <w:tcW w:type="dxa" w:w="760"/>
            <w:tcMar>
              <w:top w:w="100" w:type="dxa"/>
              <w:start w:w="130" w:type="dxa"/>
              <w:bottom w:w="100" w:type="dxa"/>
              <w:end w:w="130" w:type="dxa"/>
            </w:tcMar>
            <w:shd w:fill="2D713D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600"/>
            <w:tcMar>
              <w:top w:w="100" w:type="dxa"/>
              <w:start w:w="130" w:type="dxa"/>
              <w:bottom w:w="100" w:type="dxa"/>
              <w:end w:w="130" w:type="dxa"/>
            </w:tcMar>
            <w:shd w:fill="E7F2E8"/>
          </w:tcPr>
          <w:p>
            <w:r>
              <w:rPr>
                <w:rFonts w:ascii="Arial" w:hAnsi="Arial"/>
                <w:b/>
                <w:i w:val="0"/>
                <w:color w:val="103323"/>
                <w:sz w:val="22"/>
              </w:rPr>
              <w:t>Verify Email persistence.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Check the pilot report, chosen local time and time zone, ruled filing mode and active automation card. Confirm permanent Gmail filters were not changed.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D713D"/>
                <w:sz w:val="17"/>
              </w:rPr>
              <w:t>DONE WHEN: The report and schedule agree with the Email project.</w:t>
            </w:r>
          </w:p>
        </w:tc>
      </w:tr>
    </w:tbl>
    <w:p>
      <w:pPr>
        <w:spacing w:after="2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760"/>
        <w:gridCol w:w="8600"/>
      </w:tblGrid>
      <w:tr>
        <w:trPr>
          <w:tblHeader w:val="true"/>
        </w:trPr>
        <w:tc>
          <w:tcPr>
            <w:tcW w:type="dxa" w:w="760"/>
            <w:tcMar>
              <w:top w:w="100" w:type="dxa"/>
              <w:start w:w="130" w:type="dxa"/>
              <w:bottom w:w="100" w:type="dxa"/>
              <w:end w:w="130" w:type="dxa"/>
            </w:tcMar>
            <w:shd w:fill="2D713D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600"/>
            <w:tcMar>
              <w:top w:w="100" w:type="dxa"/>
              <w:start w:w="130" w:type="dxa"/>
              <w:bottom w:w="100" w:type="dxa"/>
              <w:end w:w="130" w:type="dxa"/>
            </w:tcMar>
            <w:shd w:fill="E7F2E8"/>
          </w:tcPr>
          <w:p>
            <w:r>
              <w:rPr>
                <w:rFonts w:ascii="Arial" w:hAnsi="Arial"/>
                <w:b/>
                <w:i w:val="0"/>
                <w:color w:val="103323"/>
                <w:sz w:val="22"/>
              </w:rPr>
              <w:t>Verify the Full Drive Index.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Collect the index summary, final cursor and validator result; confirm every supported scope ended and Drive was unchanged. TEST 25 is setup proof only.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D713D"/>
                <w:sz w:val="17"/>
              </w:rPr>
              <w:t>DONE WHEN: Full Drive proof passes or one exact blocker is recorded.</w:t>
            </w:r>
          </w:p>
        </w:tc>
      </w:tr>
    </w:tbl>
    <w:p>
      <w:pPr>
        <w:spacing w:after="2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760"/>
        <w:gridCol w:w="8600"/>
      </w:tblGrid>
      <w:tr>
        <w:trPr>
          <w:tblHeader w:val="true"/>
        </w:trPr>
        <w:tc>
          <w:tcPr>
            <w:tcW w:type="dxa" w:w="760"/>
            <w:tcMar>
              <w:top w:w="100" w:type="dxa"/>
              <w:start w:w="130" w:type="dxa"/>
              <w:bottom w:w="100" w:type="dxa"/>
              <w:end w:w="130" w:type="dxa"/>
            </w:tcMar>
            <w:shd w:fill="2D713D"/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30"/>
              </w:rPr>
              <w:t>7</w:t>
            </w:r>
          </w:p>
        </w:tc>
        <w:tc>
          <w:tcPr>
            <w:tcW w:type="dxa" w:w="8600"/>
            <w:tcMar>
              <w:top w:w="100" w:type="dxa"/>
              <w:start w:w="130" w:type="dxa"/>
              <w:bottom w:w="100" w:type="dxa"/>
              <w:end w:w="130" w:type="dxa"/>
            </w:tcMar>
            <w:shd w:fill="E7F2E8"/>
          </w:tcPr>
          <w:p>
            <w:r>
              <w:rPr>
                <w:rFonts w:ascii="Arial" w:hAnsi="Arial"/>
                <w:b/>
                <w:i w:val="0"/>
                <w:color w:val="103323"/>
                <w:sz w:val="22"/>
              </w:rPr>
              <w:t>Verify right-level LinkedIn handoff.</w:t>
            </w:r>
          </w:p>
          <w:p>
            <w:pPr>
              <w:spacing w:after="60"/>
            </w:pPr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If chosen, inspect the scoped local-control proof, YOUR TURN ON LINKEDIN handoff, approved schedule, queue headings, counts and employee-confirmed outcomes. Never collect message bodies.</w:t>
            </w:r>
          </w:p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2D713D"/>
                <w:sz w:val="17"/>
              </w:rPr>
              <w:t>DONE WHEN: Computer and Chrome stopped before LinkedIn; the local queue passes; no AI LinkedIn action occurred.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spacing w:after="60"/>
      </w:pPr>
      <w:r>
        <w:rPr>
          <w:rFonts w:ascii="Arial" w:hAnsi="Arial"/>
          <w:b/>
          <w:i w:val="0"/>
          <w:color w:val="2D713D"/>
          <w:sz w:val="18"/>
        </w:rPr>
        <w:t>OPTIONAL ADVANCED CLINIC</w:t>
      </w:r>
    </w:p>
    <w:p>
      <w:pPr>
        <w:pStyle w:val="Title"/>
      </w:pPr>
      <w:r>
        <w:rPr>
          <w:rFonts w:ascii="Arial" w:hAnsi="Arial"/>
          <w:b/>
          <w:i w:val="0"/>
          <w:color w:val="103323"/>
          <w:sz w:val="50"/>
        </w:rPr>
        <w:t>Stay-back only after the beginner room closes.</w:t>
      </w:r>
    </w:p>
    <w:p>
      <w:pPr>
        <w:pStyle w:val="Subtitle"/>
      </w:pPr>
      <w:r>
        <w:rPr>
          <w:rFonts w:ascii="Arial" w:hAnsi="Arial"/>
          <w:b w:val="0"/>
          <w:i w:val="0"/>
          <w:color w:val="5D7469"/>
          <w:sz w:val="24"/>
        </w:rPr>
        <w:t>Technical users may use Git and the lifecycle CLI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900"/>
        <w:gridCol w:w="4300"/>
        <w:gridCol w:w="3160"/>
      </w:tblGrid>
      <w:tr>
        <w:trPr>
          <w:tblHeader w:val="true"/>
        </w:trPr>
        <w:tc>
          <w:tcPr>
            <w:tcW w:type="dxa" w:w="1900"/>
            <w:tcMar>
              <w:top w:w="100" w:type="dxa"/>
              <w:start w:w="130" w:type="dxa"/>
              <w:bottom w:w="100" w:type="dxa"/>
              <w:end w:w="130" w:type="dxa"/>
            </w:tcMar>
            <w:shd w:fill="103323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Topic</w:t>
            </w:r>
          </w:p>
        </w:tc>
        <w:tc>
          <w:tcPr>
            <w:tcW w:type="dxa" w:w="4300"/>
            <w:tcMar>
              <w:top w:w="100" w:type="dxa"/>
              <w:start w:w="130" w:type="dxa"/>
              <w:bottom w:w="100" w:type="dxa"/>
              <w:end w:w="130" w:type="dxa"/>
            </w:tcMar>
            <w:shd w:fill="103323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Clinic proof</w:t>
            </w:r>
          </w:p>
        </w:tc>
        <w:tc>
          <w:tcPr>
            <w:tcW w:type="dxa" w:w="3160"/>
            <w:tcMar>
              <w:top w:w="100" w:type="dxa"/>
              <w:start w:w="130" w:type="dxa"/>
              <w:bottom w:w="100" w:type="dxa"/>
              <w:end w:w="130" w:type="dxa"/>
            </w:tcMar>
            <w:shd w:fill="103323"/>
          </w:tcPr>
          <w:p>
            <w:r>
              <w:rPr>
                <w:rFonts w:ascii="Arial" w:hAnsi="Arial"/>
                <w:b/>
                <w:i w:val="0"/>
                <w:color w:val="FFFFFF"/>
                <w:sz w:val="17"/>
              </w:rPr>
              <w:t>Stop condition</w:t>
            </w:r>
          </w:p>
        </w:tc>
      </w:tr>
      <w:tr>
        <w:tc>
          <w:tcPr>
            <w:tcW w:type="dxa" w:w="190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Public release</w:t>
            </w:r>
          </w:p>
        </w:tc>
        <w:tc>
          <w:tcPr>
            <w:tcW w:type="dxa" w:w="430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Version and release-manifest integrity pass.</w:t>
            </w:r>
          </w:p>
        </w:tc>
        <w:tc>
          <w:tcPr>
            <w:tcW w:type="dxa" w:w="3160"/>
            <w:shd w:fill="E7F2E8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Any hash or metadata mismatch.</w:t>
            </w:r>
          </w:p>
        </w:tc>
      </w:tr>
      <w:tr>
        <w:tc>
          <w:tcPr>
            <w:tcW w:type="dxa" w:w="190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Private work</w:t>
            </w:r>
          </w:p>
        </w:tc>
        <w:tc>
          <w:tcPr>
            <w:tcW w:type="dxa" w:w="430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Both approved CLIs read the same separate project.</w:t>
            </w:r>
          </w:p>
        </w:tc>
        <w:tc>
          <w:tcPr>
            <w:tcW w:type="dxa" w:w="3160"/>
            <w:shd w:fill="FFF4D7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A CLI opens the public distribution repo as live work.</w:t>
            </w:r>
          </w:p>
        </w:tc>
      </w:tr>
      <w:tr>
        <w:tc>
          <w:tcPr>
            <w:tcW w:type="dxa" w:w="1900"/>
            <w:shd w:fill="E3EEF2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Role skill</w:t>
            </w:r>
          </w:p>
        </w:tc>
        <w:tc>
          <w:tcPr>
            <w:tcW w:type="dxa" w:w="4300"/>
            <w:shd w:fill="E3EEF2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One exact skill invokes, loads its references and returns one safe next action.</w:t>
            </w:r>
          </w:p>
        </w:tc>
        <w:tc>
          <w:tcPr>
            <w:tcW w:type="dxa" w:w="3160"/>
            <w:shd w:fill="E3EEF2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No named role approval or no bounded use case.</w:t>
            </w:r>
          </w:p>
        </w:tc>
      </w:tr>
      <w:tr>
        <w:tc>
          <w:tcPr>
            <w:tcW w:type="dxa" w:w="1900"/>
            <w:shd w:fill="F4DDCF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/>
                <w:i w:val="0"/>
                <w:color w:val="173428"/>
                <w:sz w:val="17"/>
              </w:rPr>
              <w:t>Upgrade/remove</w:t>
            </w:r>
          </w:p>
        </w:tc>
        <w:tc>
          <w:tcPr>
            <w:tcW w:type="dxa" w:w="4300"/>
            <w:shd w:fill="F4DDCF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A checkpointed action archives the prior managed copy and preserves worker state.</w:t>
            </w:r>
          </w:p>
        </w:tc>
        <w:tc>
          <w:tcPr>
            <w:tcW w:type="dxa" w:w="3160"/>
            <w:shd w:fill="F4DDCF"/>
            <w:vAlign w:val="center"/>
            <w:tcMar>
              <w:top w:w="100" w:type="dxa"/>
              <w:start w:w="130" w:type="dxa"/>
              <w:bottom w:w="100" w:type="dxa"/>
              <w:end w:w="130" w:type="dxa"/>
            </w:tcMar>
          </w:tcPr>
          <w:p>
            <w:r>
              <w:rPr>
                <w:rFonts w:ascii="Arial" w:hAnsi="Arial"/>
                <w:b w:val="0"/>
                <w:i w:val="0"/>
                <w:color w:val="173428"/>
                <w:sz w:val="17"/>
              </w:rPr>
              <w:t>A live task is active or state is unclear.</w:t>
            </w:r>
          </w:p>
        </w:tc>
      </w:tr>
    </w:tbl>
    <w:p>
      <w:pPr>
        <w:spacing w:after="60"/>
      </w:pP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850"/>
        <w:gridCol w:w="7510"/>
      </w:tblGrid>
      <w:tr>
        <w:trPr>
          <w:tblHeader w:val="true"/>
        </w:trPr>
        <w:tc>
          <w:tcPr>
            <w:tcW w:type="dxa" w:w="1850"/>
            <w:tcMar>
              <w:top w:w="100" w:type="dxa"/>
              <w:start w:w="130" w:type="dxa"/>
              <w:bottom w:w="100" w:type="dxa"/>
              <w:end w:w="130" w:type="dxa"/>
            </w:tcMar>
            <w:shd w:fill="F4DDCF"/>
            <w:vAlign w:val="center"/>
          </w:tcPr>
          <w:p>
            <w:r>
              <w:rPr>
                <w:rFonts w:ascii="Arial" w:hAnsi="Arial"/>
                <w:b/>
                <w:i w:val="0"/>
                <w:color w:val="2D713D"/>
                <w:sz w:val="18"/>
              </w:rPr>
              <w:t>GATE 0</w:t>
            </w:r>
          </w:p>
        </w:tc>
        <w:tc>
          <w:tcPr>
            <w:tcW w:type="dxa" w:w="7510"/>
            <w:tcMar>
              <w:top w:w="100" w:type="dxa"/>
              <w:start w:w="130" w:type="dxa"/>
              <w:bottom w:w="100" w:type="dxa"/>
              <w:end w:w="130" w:type="dxa"/>
            </w:tcMar>
            <w:shd w:fill="F4DDCF"/>
            <w:vAlign w:val="center"/>
          </w:tcPr>
          <w:p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Medical claims, dosage, certification, legal text and spend are flagged, never fixed. There is no override.</w:t>
            </w:r>
          </w:p>
        </w:tc>
      </w:tr>
    </w:tbl>
    <w:p>
      <w:pPr>
        <w:spacing w:after="40"/>
      </w:pPr>
    </w:p>
    <w:p>
      <w:r>
        <w:br w:type="page"/>
      </w:r>
    </w:p>
    <w:p>
      <w:pPr>
        <w:spacing w:after="60"/>
      </w:pPr>
      <w:r>
        <w:rPr>
          <w:rFonts w:ascii="Arial" w:hAnsi="Arial"/>
          <w:b/>
          <w:i w:val="0"/>
          <w:color w:val="2D713D"/>
          <w:sz w:val="18"/>
        </w:rPr>
        <w:t>SESSION CLOSE</w:t>
      </w:r>
    </w:p>
    <w:p>
      <w:pPr>
        <w:pStyle w:val="Title"/>
      </w:pPr>
      <w:r>
        <w:rPr>
          <w:rFonts w:ascii="Arial" w:hAnsi="Arial"/>
          <w:b/>
          <w:i w:val="0"/>
          <w:color w:val="103323"/>
          <w:sz w:val="50"/>
        </w:rPr>
        <w:t>Close every row with proof.</w:t>
      </w:r>
    </w:p>
    <w:p>
      <w:pPr>
        <w:pStyle w:val="Subtitle"/>
      </w:pPr>
      <w:r>
        <w:rPr>
          <w:rFonts w:ascii="Arial" w:hAnsi="Arial"/>
          <w:b w:val="0"/>
          <w:i w:val="0"/>
          <w:color w:val="5D7469"/>
          <w:sz w:val="24"/>
        </w:rPr>
        <w:t>Anything incomplete becomes one precise blocker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Each employee's project path and active task are recorded.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Email and Full Drive are recorded LIVE or with one exact blocker; optional LinkedIn is LIVE, NOT ENABLED BY CHOICE or blocked.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Every private-access problem names the missing invitation and owner.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Every skill opt-in names the role, use case, test and keep/remove decision.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No company work was written to the public distribution repository.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Ledger, register, cursor and evidence log are updated.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Each announced update is CURRENT or DEFERRED with version and receipt/check proof.</w:t>
      </w:r>
    </w:p>
    <w:p>
      <w:pPr>
        <w:pStyle w:val="ListBullet"/>
        <w:spacing w:after="60"/>
        <w:ind w:left="490" w:hanging="259"/>
      </w:pPr>
      <w:r>
        <w:rPr>
          <w:rFonts w:ascii="Arial" w:hAnsi="Arial"/>
          <w:b w:val="0"/>
          <w:i w:val="0"/>
          <w:color w:val="173428"/>
          <w:sz w:val="19"/>
        </w:rPr>
        <w:t>[  ]  Beginner and advanced materials are not mixed.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</w:tblPr>
      <w:tblGrid>
        <w:gridCol w:w="1850"/>
        <w:gridCol w:w="7510"/>
      </w:tblGrid>
      <w:tr>
        <w:trPr>
          <w:tblHeader w:val="true"/>
        </w:trPr>
        <w:tc>
          <w:tcPr>
            <w:tcW w:type="dxa" w:w="1850"/>
            <w:tcMar>
              <w:top w:w="100" w:type="dxa"/>
              <w:start w:w="130" w:type="dxa"/>
              <w:bottom w:w="100" w:type="dxa"/>
              <w:end w:w="130" w:type="dxa"/>
            </w:tcMar>
            <w:shd w:fill="FFF4D7"/>
            <w:vAlign w:val="center"/>
          </w:tcPr>
          <w:p>
            <w:r>
              <w:rPr>
                <w:rFonts w:ascii="Arial" w:hAnsi="Arial"/>
                <w:b/>
                <w:i w:val="0"/>
                <w:color w:val="2D713D"/>
                <w:sz w:val="18"/>
              </w:rPr>
              <w:t>DISTRIBUTION</w:t>
            </w:r>
          </w:p>
        </w:tc>
        <w:tc>
          <w:tcPr>
            <w:tcW w:type="dxa" w:w="7510"/>
            <w:tcMar>
              <w:top w:w="100" w:type="dxa"/>
              <w:start w:w="130" w:type="dxa"/>
              <w:bottom w:w="100" w:type="dxa"/>
              <w:end w:w="130" w:type="dxa"/>
            </w:tcMar>
            <w:shd w:fill="FFF4D7"/>
            <w:vAlign w:val="center"/>
          </w:tcPr>
          <w:p>
            <w:r>
              <w:rPr>
                <w:rFonts w:ascii="Arial" w:hAnsi="Arial"/>
                <w:b w:val="0"/>
                <w:i w:val="0"/>
                <w:color w:val="173428"/>
                <w:sz w:val="18"/>
              </w:rPr>
              <w:t>This runbook prepares a rollout. Sending employee messages, invitations or files is a separate owner-approved action.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9" w:h="16834"/>
      <w:pgMar w:top="1037" w:right="1123" w:bottom="950" w:left="1123" w:header="432" w:footer="461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/>
        <w:b w:val="0"/>
        <w:i w:val="0"/>
        <w:color w:val="5D7469"/>
        <w:sz w:val="16"/>
      </w:rPr>
      <w:t>Facilitator-held  ·  v1.5.1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i w:val="0"/>
        <w:color w:val="5D7469"/>
        <w:sz w:val="16"/>
      </w:rPr>
      <w:t>Kairali AI Method  |  Facilitator runbook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8" w:lineRule="auto"/>
    </w:pPr>
    <w:rPr>
      <w:rFonts w:ascii="Arial" w:hAnsi="Arial"/>
      <w:color w:val="17342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rial" w:hAnsi="Arial"/>
      <w:b/>
      <w:bCs/>
      <w:color w:val="10332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10332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2D713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0332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40"/>
    </w:pPr>
    <w:rPr>
      <w:rFonts w:asciiTheme="majorHAnsi" w:eastAsiaTheme="majorEastAsia" w:hAnsiTheme="majorHAnsi" w:cstheme="majorBidi" w:ascii="Arial" w:hAnsi="Arial"/>
      <w:b/>
      <w:i/>
      <w:iCs/>
      <w:color w:val="103323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FACILITATOR RUNBOOK v9 PUBLIC KIT</dc:title>
  <dc:subject>Facilitator runbook for public-kit company rollout</dc:subject>
  <dc:creator>Kairali AI Method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